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ED" w:rsidRDefault="00F177ED" w:rsidP="00F177ED">
      <w:pPr>
        <w:pStyle w:val="Balk3"/>
        <w:shd w:val="clear" w:color="auto" w:fill="FFFFFF"/>
        <w:spacing w:before="450" w:beforeAutospacing="0" w:after="450" w:afterAutospacing="0" w:line="420" w:lineRule="atLeast"/>
        <w:rPr>
          <w:rFonts w:ascii="Arial" w:hAnsi="Arial" w:cs="Arial"/>
          <w:color w:val="075192"/>
          <w:sz w:val="42"/>
          <w:szCs w:val="42"/>
        </w:rPr>
      </w:pPr>
      <w:r>
        <w:rPr>
          <w:rFonts w:ascii="Arial" w:hAnsi="Arial" w:cs="Arial"/>
          <w:color w:val="075192"/>
          <w:sz w:val="42"/>
          <w:szCs w:val="42"/>
        </w:rPr>
        <w:t>TBM, TÜTÜN BAĞIMLILIĞI EĞİTİMİ...</w:t>
      </w:r>
    </w:p>
    <w:p w:rsidR="00F177ED" w:rsidRDefault="00F177ED" w:rsidP="00F177ED">
      <w:pPr>
        <w:shd w:val="clear" w:color="auto" w:fill="FFFFFF"/>
        <w:rPr>
          <w:rFonts w:ascii="Arial" w:hAnsi="Arial" w:cs="Arial"/>
          <w:color w:val="7B868F"/>
          <w:sz w:val="21"/>
          <w:szCs w:val="21"/>
        </w:rPr>
      </w:pPr>
      <w:r>
        <w:rPr>
          <w:rFonts w:ascii="Arial" w:hAnsi="Arial" w:cs="Arial"/>
          <w:noProof/>
          <w:color w:val="337AB7"/>
          <w:sz w:val="21"/>
          <w:szCs w:val="21"/>
          <w:lang w:eastAsia="tr-TR"/>
        </w:rPr>
        <w:drawing>
          <wp:inline distT="0" distB="0" distL="0" distR="0">
            <wp:extent cx="5644579" cy="3169920"/>
            <wp:effectExtent l="0" t="0" r="0" b="0"/>
            <wp:docPr id="4" name="Resim 4" descr="TBM, TÜTÜN BAĞIMLILIĞI EĞİTİMİ...">
              <a:hlinkClick xmlns:a="http://schemas.openxmlformats.org/drawingml/2006/main" r:id="rId5" tooltip="&quot;TBM, TÜTÜN BAĞIMLILIĞI EĞİTİ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M, TÜTÜN BAĞIMLILIĞI EĞİTİMİ...">
                      <a:hlinkClick r:id="rId5" tooltip="&quot;TBM, TÜTÜN BAĞIMLILIĞI EĞİTİMİ...&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1018" cy="3173536"/>
                    </a:xfrm>
                    <a:prstGeom prst="rect">
                      <a:avLst/>
                    </a:prstGeom>
                    <a:noFill/>
                    <a:ln>
                      <a:noFill/>
                    </a:ln>
                  </pic:spPr>
                </pic:pic>
              </a:graphicData>
            </a:graphic>
          </wp:inline>
        </w:drawing>
      </w:r>
    </w:p>
    <w:p w:rsidR="00F177ED" w:rsidRDefault="00F177ED" w:rsidP="00F177E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Günümüzde tütün ve tütün ürünlerinin kullanımı dünyada tek başına en önemli ölüm nedenidir.</w:t>
      </w:r>
    </w:p>
    <w:p w:rsidR="00F177ED" w:rsidRDefault="00F177ED" w:rsidP="00F177E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Dünya genelinde yaklaşık 1,3 milyar insan sigara içmektedir. Bu sayının 2025 yılında 1,8 milyara yükselmesi beklenmektedir. Dünyada sigara içenlerin yaklaşık üçte ikisi aralarında Türkiye'nin de bulunduğu 10 ülkede yaşamaktadır. Dünya'da sigara içen 1,3 milyar kişinin 900 milyonu (%70 – 75) gelişmekte olan ülkelerde yaşamaktadır. Günde 13.700 kişi hayatını kaybediyor Avrupa'da tütün kullanımı sonucu 1,6 milyon kişi, dünya genelinde de her yıl 5 milyondan fazla kişi (günde 13.700 kişi, 6 saniyede 1 kişi), 600 bini ise pasif içicilikten, yaşamını yitirmektedir. 2.5 milyon hektar orman yok oluyor</w:t>
      </w:r>
    </w:p>
    <w:p w:rsidR="00F177ED" w:rsidRDefault="00F177ED" w:rsidP="00F177E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Ülkemizdeki tüm ölümlerin %41,6'sı tütüne bağlı hastalıklar sebebiyle olmaktadır (100.000 kişi/yıl, 274 kişi/gün, 6 dakikada 1 kişi). Tütün endüstrisinin kâğıt gereksiniminin karşılanması için her yıl </w:t>
      </w:r>
      <w:proofErr w:type="gramStart"/>
      <w:r>
        <w:rPr>
          <w:rFonts w:ascii="Arial" w:hAnsi="Arial" w:cs="Arial"/>
          <w:color w:val="7B868F"/>
          <w:sz w:val="21"/>
          <w:szCs w:val="21"/>
        </w:rPr>
        <w:t>2.5</w:t>
      </w:r>
      <w:proofErr w:type="gramEnd"/>
      <w:r>
        <w:rPr>
          <w:rFonts w:ascii="Arial" w:hAnsi="Arial" w:cs="Arial"/>
          <w:color w:val="7B868F"/>
          <w:sz w:val="21"/>
          <w:szCs w:val="21"/>
        </w:rPr>
        <w:t xml:space="preserve"> milyon hektar orman alanı yok olmaktadır. Kentlerde çıkan yangınların yarısından fazlası sigara nedeniyle çıkmaktadır.</w:t>
      </w:r>
    </w:p>
    <w:p w:rsidR="00F177ED" w:rsidRDefault="00F177ED" w:rsidP="00F177E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Yılda 30 milyar TL Türkiye'de sigara içen 20 milyon dolayında kişi sigara satın almak için yılda 25 – 30 milyar TL ödemektedir. TÜTÜN VE TÜTÜN </w:t>
      </w:r>
      <w:proofErr w:type="gramStart"/>
      <w:r>
        <w:rPr>
          <w:rFonts w:ascii="Arial" w:hAnsi="Arial" w:cs="Arial"/>
          <w:color w:val="7B868F"/>
          <w:sz w:val="21"/>
          <w:szCs w:val="21"/>
        </w:rPr>
        <w:t>BAĞIMLILIĞI !</w:t>
      </w:r>
      <w:proofErr w:type="gramEnd"/>
      <w:r>
        <w:rPr>
          <w:rFonts w:ascii="Arial" w:hAnsi="Arial" w:cs="Arial"/>
          <w:color w:val="7B868F"/>
          <w:sz w:val="21"/>
          <w:szCs w:val="21"/>
        </w:rPr>
        <w:t xml:space="preserve"> 2 Katliam Gibi! Sigaradan dünyada her yıl 5 milyon kişi ölüyor, yani günde 13.700 kişi...</w:t>
      </w:r>
    </w:p>
    <w:p w:rsidR="00F177ED" w:rsidRDefault="00F177ED" w:rsidP="00F177ED">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noProof/>
          <w:color w:val="337AB7"/>
          <w:sz w:val="21"/>
          <w:szCs w:val="21"/>
        </w:rPr>
        <w:lastRenderedPageBreak/>
        <w:drawing>
          <wp:inline distT="0" distB="0" distL="0" distR="0">
            <wp:extent cx="6240780" cy="4229100"/>
            <wp:effectExtent l="0" t="0" r="7620" b="0"/>
            <wp:docPr id="3" name="Resim 3" descr="19-01-2021">
              <a:hlinkClick xmlns:a="http://schemas.openxmlformats.org/drawingml/2006/main" r:id="rId7" tooltip="&quot;19-01-202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01-2021">
                      <a:hlinkClick r:id="rId7" tooltip="&quot;19-01-2021&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3064" cy="4230648"/>
                    </a:xfrm>
                    <a:prstGeom prst="rect">
                      <a:avLst/>
                    </a:prstGeom>
                    <a:noFill/>
                    <a:ln>
                      <a:noFill/>
                    </a:ln>
                  </pic:spPr>
                </pic:pic>
              </a:graphicData>
            </a:graphic>
          </wp:inline>
        </w:drawing>
      </w:r>
      <w:bookmarkStart w:id="0" w:name="_GoBack"/>
      <w:r>
        <w:rPr>
          <w:rFonts w:ascii="Arial" w:hAnsi="Arial" w:cs="Arial"/>
          <w:noProof/>
          <w:color w:val="337AB7"/>
          <w:sz w:val="21"/>
          <w:szCs w:val="21"/>
        </w:rPr>
        <w:drawing>
          <wp:inline distT="0" distB="0" distL="0" distR="0">
            <wp:extent cx="6240780" cy="3756660"/>
            <wp:effectExtent l="0" t="0" r="7620" b="0"/>
            <wp:docPr id="2" name="Resim 2" descr="19-01-2021">
              <a:hlinkClick xmlns:a="http://schemas.openxmlformats.org/drawingml/2006/main" r:id="rId9" tooltip="&quot;19-01-202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01-2021">
                      <a:hlinkClick r:id="rId9" tooltip="&quot;19-01-2021&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2416" cy="3757645"/>
                    </a:xfrm>
                    <a:prstGeom prst="rect">
                      <a:avLst/>
                    </a:prstGeom>
                    <a:noFill/>
                    <a:ln>
                      <a:noFill/>
                    </a:ln>
                  </pic:spPr>
                </pic:pic>
              </a:graphicData>
            </a:graphic>
          </wp:inline>
        </w:drawing>
      </w:r>
      <w:bookmarkEnd w:id="0"/>
    </w:p>
    <w:p w:rsidR="00D95D8E" w:rsidRPr="00F177ED" w:rsidRDefault="00D95D8E" w:rsidP="00F177ED"/>
    <w:sectPr w:rsidR="00D95D8E" w:rsidRPr="00F17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A2"/>
    <w:rsid w:val="00352AA1"/>
    <w:rsid w:val="008F63A2"/>
    <w:rsid w:val="009E172A"/>
    <w:rsid w:val="00B14248"/>
    <w:rsid w:val="00D95D8E"/>
    <w:rsid w:val="00F177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9E172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E172A"/>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E17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E17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17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9E172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E172A"/>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E17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E17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1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051">
      <w:bodyDiv w:val="1"/>
      <w:marLeft w:val="0"/>
      <w:marRight w:val="0"/>
      <w:marTop w:val="0"/>
      <w:marBottom w:val="0"/>
      <w:divBdr>
        <w:top w:val="none" w:sz="0" w:space="0" w:color="auto"/>
        <w:left w:val="none" w:sz="0" w:space="0" w:color="auto"/>
        <w:bottom w:val="none" w:sz="0" w:space="0" w:color="auto"/>
        <w:right w:val="none" w:sz="0" w:space="0" w:color="auto"/>
      </w:divBdr>
      <w:divsChild>
        <w:div w:id="551158438">
          <w:marLeft w:val="-225"/>
          <w:marRight w:val="-225"/>
          <w:marTop w:val="0"/>
          <w:marBottom w:val="450"/>
          <w:divBdr>
            <w:top w:val="none" w:sz="0" w:space="0" w:color="auto"/>
            <w:left w:val="none" w:sz="0" w:space="0" w:color="auto"/>
            <w:bottom w:val="none" w:sz="0" w:space="0" w:color="auto"/>
            <w:right w:val="none" w:sz="0" w:space="0" w:color="auto"/>
          </w:divBdr>
          <w:divsChild>
            <w:div w:id="575480592">
              <w:marLeft w:val="0"/>
              <w:marRight w:val="0"/>
              <w:marTop w:val="0"/>
              <w:marBottom w:val="0"/>
              <w:divBdr>
                <w:top w:val="none" w:sz="0" w:space="0" w:color="auto"/>
                <w:left w:val="none" w:sz="0" w:space="0" w:color="auto"/>
                <w:bottom w:val="none" w:sz="0" w:space="0" w:color="auto"/>
                <w:right w:val="none" w:sz="0" w:space="0" w:color="auto"/>
              </w:divBdr>
            </w:div>
          </w:divsChild>
        </w:div>
        <w:div w:id="1310010911">
          <w:marLeft w:val="-225"/>
          <w:marRight w:val="-225"/>
          <w:marTop w:val="0"/>
          <w:marBottom w:val="450"/>
          <w:divBdr>
            <w:top w:val="none" w:sz="0" w:space="0" w:color="auto"/>
            <w:left w:val="none" w:sz="0" w:space="0" w:color="auto"/>
            <w:bottom w:val="none" w:sz="0" w:space="0" w:color="auto"/>
            <w:right w:val="none" w:sz="0" w:space="0" w:color="auto"/>
          </w:divBdr>
          <w:divsChild>
            <w:div w:id="2013213898">
              <w:marLeft w:val="0"/>
              <w:marRight w:val="0"/>
              <w:marTop w:val="0"/>
              <w:marBottom w:val="0"/>
              <w:divBdr>
                <w:top w:val="none" w:sz="0" w:space="0" w:color="auto"/>
                <w:left w:val="none" w:sz="0" w:space="0" w:color="auto"/>
                <w:bottom w:val="none" w:sz="0" w:space="0" w:color="auto"/>
                <w:right w:val="none" w:sz="0" w:space="0" w:color="auto"/>
              </w:divBdr>
              <w:divsChild>
                <w:div w:id="5240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20959">
      <w:bodyDiv w:val="1"/>
      <w:marLeft w:val="0"/>
      <w:marRight w:val="0"/>
      <w:marTop w:val="0"/>
      <w:marBottom w:val="0"/>
      <w:divBdr>
        <w:top w:val="none" w:sz="0" w:space="0" w:color="auto"/>
        <w:left w:val="none" w:sz="0" w:space="0" w:color="auto"/>
        <w:bottom w:val="none" w:sz="0" w:space="0" w:color="auto"/>
        <w:right w:val="none" w:sz="0" w:space="0" w:color="auto"/>
      </w:divBdr>
      <w:divsChild>
        <w:div w:id="285888346">
          <w:marLeft w:val="-225"/>
          <w:marRight w:val="-225"/>
          <w:marTop w:val="0"/>
          <w:marBottom w:val="450"/>
          <w:divBdr>
            <w:top w:val="none" w:sz="0" w:space="0" w:color="auto"/>
            <w:left w:val="none" w:sz="0" w:space="0" w:color="auto"/>
            <w:bottom w:val="none" w:sz="0" w:space="0" w:color="auto"/>
            <w:right w:val="none" w:sz="0" w:space="0" w:color="auto"/>
          </w:divBdr>
          <w:divsChild>
            <w:div w:id="1666323091">
              <w:marLeft w:val="0"/>
              <w:marRight w:val="0"/>
              <w:marTop w:val="0"/>
              <w:marBottom w:val="0"/>
              <w:divBdr>
                <w:top w:val="none" w:sz="0" w:space="0" w:color="auto"/>
                <w:left w:val="none" w:sz="0" w:space="0" w:color="auto"/>
                <w:bottom w:val="none" w:sz="0" w:space="0" w:color="auto"/>
                <w:right w:val="none" w:sz="0" w:space="0" w:color="auto"/>
              </w:divBdr>
            </w:div>
          </w:divsChild>
        </w:div>
        <w:div w:id="752898366">
          <w:marLeft w:val="-225"/>
          <w:marRight w:val="-225"/>
          <w:marTop w:val="0"/>
          <w:marBottom w:val="450"/>
          <w:divBdr>
            <w:top w:val="none" w:sz="0" w:space="0" w:color="auto"/>
            <w:left w:val="none" w:sz="0" w:space="0" w:color="auto"/>
            <w:bottom w:val="none" w:sz="0" w:space="0" w:color="auto"/>
            <w:right w:val="none" w:sz="0" w:space="0" w:color="auto"/>
          </w:divBdr>
          <w:divsChild>
            <w:div w:id="948241800">
              <w:marLeft w:val="0"/>
              <w:marRight w:val="0"/>
              <w:marTop w:val="0"/>
              <w:marBottom w:val="0"/>
              <w:divBdr>
                <w:top w:val="none" w:sz="0" w:space="0" w:color="auto"/>
                <w:left w:val="none" w:sz="0" w:space="0" w:color="auto"/>
                <w:bottom w:val="none" w:sz="0" w:space="0" w:color="auto"/>
                <w:right w:val="none" w:sz="0" w:space="0" w:color="auto"/>
              </w:divBdr>
              <w:divsChild>
                <w:div w:id="12076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ectal.meb.k12.tr/meb_iys_dosyalar/17/08/964253/resimler/2021_01/19004216_1.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ectal.meb.k12.tr/meb_iys_dosyalar/17/08/964253/resimler/2021_01/k_19003830_MANSET.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ectal.meb.k12.tr/meb_iys_dosyalar/17/08/964253/resimler/2021_01/19004218_2.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1110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2021-01-19T12:13:00Z</dcterms:created>
  <dcterms:modified xsi:type="dcterms:W3CDTF">2021-01-19T12:17:00Z</dcterms:modified>
</cp:coreProperties>
</file>